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ED2" w:rsidP="00803ED2">
      <w:pPr>
        <w:jc w:val="center"/>
        <w:rPr>
          <w:b/>
          <w:sz w:val="32"/>
          <w:szCs w:val="32"/>
        </w:rPr>
      </w:pPr>
      <w:proofErr w:type="spellStart"/>
      <w:r w:rsidRPr="00803ED2">
        <w:rPr>
          <w:b/>
          <w:sz w:val="32"/>
          <w:szCs w:val="32"/>
          <w:lang w:val="en-US"/>
        </w:rPr>
        <w:t>Определение</w:t>
      </w:r>
      <w:proofErr w:type="spellEnd"/>
      <w:r w:rsidRPr="00803ED2">
        <w:rPr>
          <w:b/>
          <w:sz w:val="32"/>
          <w:szCs w:val="32"/>
          <w:lang w:val="en-US"/>
        </w:rPr>
        <w:t xml:space="preserve"> </w:t>
      </w:r>
      <w:proofErr w:type="spellStart"/>
      <w:r w:rsidRPr="00803ED2">
        <w:rPr>
          <w:b/>
          <w:sz w:val="32"/>
          <w:szCs w:val="32"/>
          <w:lang w:val="en-US"/>
        </w:rPr>
        <w:t>моторной</w:t>
      </w:r>
      <w:proofErr w:type="spellEnd"/>
      <w:r w:rsidRPr="00803ED2">
        <w:rPr>
          <w:b/>
          <w:sz w:val="32"/>
          <w:szCs w:val="32"/>
          <w:lang w:val="en-US"/>
        </w:rPr>
        <w:t xml:space="preserve"> </w:t>
      </w:r>
      <w:proofErr w:type="spellStart"/>
      <w:r w:rsidRPr="00803ED2">
        <w:rPr>
          <w:b/>
          <w:sz w:val="32"/>
          <w:szCs w:val="32"/>
          <w:lang w:val="en-US"/>
        </w:rPr>
        <w:t>асим</w:t>
      </w:r>
      <w:proofErr w:type="spellEnd"/>
      <w:r w:rsidRPr="00803ED2">
        <w:rPr>
          <w:b/>
          <w:sz w:val="32"/>
          <w:szCs w:val="32"/>
        </w:rPr>
        <w:t>м</w:t>
      </w:r>
      <w:r w:rsidRPr="00803ED2">
        <w:rPr>
          <w:b/>
          <w:sz w:val="32"/>
          <w:szCs w:val="32"/>
          <w:lang w:val="en-US"/>
        </w:rPr>
        <w:t>е</w:t>
      </w:r>
      <w:proofErr w:type="spellStart"/>
      <w:r w:rsidRPr="00803ED2">
        <w:rPr>
          <w:b/>
          <w:sz w:val="32"/>
          <w:szCs w:val="32"/>
        </w:rPr>
        <w:t>трии</w:t>
      </w:r>
      <w:proofErr w:type="spellEnd"/>
    </w:p>
    <w:p w:rsidR="00803ED2" w:rsidRDefault="00803ED2" w:rsidP="00803ED2">
      <w:pPr>
        <w:rPr>
          <w:sz w:val="32"/>
          <w:szCs w:val="32"/>
        </w:rPr>
      </w:pPr>
      <w:r w:rsidRPr="00803ED2">
        <w:rPr>
          <w:sz w:val="32"/>
          <w:szCs w:val="32"/>
        </w:rPr>
        <w:t>К</w:t>
      </w:r>
      <w:r>
        <w:rPr>
          <w:sz w:val="32"/>
          <w:szCs w:val="32"/>
        </w:rPr>
        <w:t xml:space="preserve">огда ребёнок достигает старшего дошкольного возраста, обычно родители уже знают – правша ребёнок или левша. Но иногда, на более ранних этапах развития, ребёнок как будто бы работает обеими руками. И непонятно, в какую руку дать карандаш. Мы предлагаем </w:t>
      </w:r>
      <w:proofErr w:type="gramStart"/>
      <w:r>
        <w:rPr>
          <w:sz w:val="32"/>
          <w:szCs w:val="32"/>
        </w:rPr>
        <w:t>ориентировочных</w:t>
      </w:r>
      <w:proofErr w:type="gramEnd"/>
      <w:r>
        <w:rPr>
          <w:sz w:val="32"/>
          <w:szCs w:val="32"/>
        </w:rPr>
        <w:t xml:space="preserve"> тест для определения предпочитаемой руки.</w:t>
      </w:r>
    </w:p>
    <w:p w:rsidR="00803ED2" w:rsidRDefault="00803ED2" w:rsidP="00803ED2">
      <w:pPr>
        <w:rPr>
          <w:sz w:val="32"/>
          <w:szCs w:val="32"/>
        </w:rPr>
      </w:pPr>
      <w:r>
        <w:rPr>
          <w:sz w:val="32"/>
          <w:szCs w:val="32"/>
        </w:rPr>
        <w:t xml:space="preserve">     Ребёнок должен выполнить ряд упражнений. Родители при выполнении каждого упражнения должны отметить в табли</w:t>
      </w:r>
      <w:r w:rsidR="00C13653">
        <w:rPr>
          <w:sz w:val="32"/>
          <w:szCs w:val="32"/>
        </w:rPr>
        <w:t>це, какой рукой ребёнок выполняет упражнение: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Рисование;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Открывание коробки из-под спичек;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Складывание колодца из спичек;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 в мяч;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Вырезание ножницами;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Нанизывание бус на иголку с ниткой; 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Вращательные движения (открыть и закрыть пузырёк с завинчивающейся крышкой);</w:t>
      </w:r>
    </w:p>
    <w:p w:rsidR="00C13653" w:rsidRDefault="00C13653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Развязывание у</w:t>
      </w:r>
      <w:r w:rsidR="00CF42F4">
        <w:rPr>
          <w:sz w:val="32"/>
          <w:szCs w:val="32"/>
        </w:rPr>
        <w:t>зелков;</w:t>
      </w:r>
    </w:p>
    <w:p w:rsidR="00CF42F4" w:rsidRDefault="00CF42F4" w:rsidP="00C136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Сложить дом из кубиков.</w:t>
      </w:r>
    </w:p>
    <w:p w:rsidR="00CF42F4" w:rsidRDefault="00CF42F4" w:rsidP="00CF42F4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47"/>
        <w:gridCol w:w="2202"/>
        <w:gridCol w:w="2225"/>
        <w:gridCol w:w="2177"/>
      </w:tblGrid>
      <w:tr w:rsidR="00CF42F4" w:rsidTr="00CF42F4">
        <w:tc>
          <w:tcPr>
            <w:tcW w:w="2392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Левая рука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Правая рука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 руки</w:t>
            </w:r>
          </w:p>
        </w:tc>
      </w:tr>
      <w:tr w:rsidR="00CF42F4" w:rsidTr="00CF42F4">
        <w:tc>
          <w:tcPr>
            <w:tcW w:w="2392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CF42F4" w:rsidTr="00CF42F4">
        <w:tc>
          <w:tcPr>
            <w:tcW w:w="2392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CF42F4" w:rsidTr="00CF42F4">
        <w:tc>
          <w:tcPr>
            <w:tcW w:w="2392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393" w:type="dxa"/>
          </w:tcPr>
          <w:p w:rsidR="00CF42F4" w:rsidRDefault="00CF42F4" w:rsidP="00CF42F4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</w:tr>
    </w:tbl>
    <w:p w:rsidR="00CF42F4" w:rsidRDefault="00CF42F4" w:rsidP="00CF42F4">
      <w:pPr>
        <w:pStyle w:val="a3"/>
        <w:rPr>
          <w:sz w:val="32"/>
          <w:szCs w:val="32"/>
        </w:rPr>
      </w:pPr>
    </w:p>
    <w:p w:rsidR="00CF42F4" w:rsidRDefault="00CF42F4" w:rsidP="00CF42F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Степень выраженности моторной асимметрии определяется по количеству плюсов и минусов в каждой графе. При равенстве плюсов или большом количестве в графе «обе руки» можно сделать вывод о недостаточной </w:t>
      </w:r>
      <w:proofErr w:type="spellStart"/>
      <w:r>
        <w:rPr>
          <w:sz w:val="32"/>
          <w:szCs w:val="32"/>
        </w:rPr>
        <w:t>сформированности</w:t>
      </w:r>
      <w:proofErr w:type="spellEnd"/>
      <w:r>
        <w:rPr>
          <w:sz w:val="32"/>
          <w:szCs w:val="32"/>
        </w:rPr>
        <w:t xml:space="preserve"> асимметрии.</w:t>
      </w:r>
    </w:p>
    <w:p w:rsidR="00CF42F4" w:rsidRDefault="00CF42F4" w:rsidP="00CF42F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Ребёнок должен знать правую руку и левую руку. Для проведения занятия на эту тему предлагаем использовать такое стихотворение.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Это – правая рука.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Это  - левая рука.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Справа – шумная дубрава,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Слева – быстрая река.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(Дети переворачиваются в другую сторону.)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Повернулись мы – и вот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Стало всё наоборот.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Слева – шумная дубрава,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Справа – быстрая река.</w:t>
      </w:r>
    </w:p>
    <w:p w:rsidR="00CF42F4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Неужели стала левой</w:t>
      </w:r>
    </w:p>
    <w:p w:rsidR="00CF42F4" w:rsidRPr="00C13653" w:rsidRDefault="00CF42F4" w:rsidP="00C822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Наша правая рука.</w:t>
      </w:r>
    </w:p>
    <w:sectPr w:rsidR="00CF42F4" w:rsidRPr="00C1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2A6F"/>
    <w:multiLevelType w:val="hybridMultilevel"/>
    <w:tmpl w:val="2E8C1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03ED2"/>
    <w:rsid w:val="00803ED2"/>
    <w:rsid w:val="00C13653"/>
    <w:rsid w:val="00C8220D"/>
    <w:rsid w:val="00CF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53"/>
    <w:pPr>
      <w:ind w:left="720"/>
      <w:contextualSpacing/>
    </w:pPr>
  </w:style>
  <w:style w:type="table" w:styleId="a4">
    <w:name w:val="Table Grid"/>
    <w:basedOn w:val="a1"/>
    <w:uiPriority w:val="59"/>
    <w:rsid w:val="00CF4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2015-04-24T19:31:00Z</dcterms:created>
  <dcterms:modified xsi:type="dcterms:W3CDTF">2015-04-24T20:44:00Z</dcterms:modified>
</cp:coreProperties>
</file>